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EBC9E" w14:textId="0E7538A7" w:rsidR="00B461CE" w:rsidRDefault="00B461CE" w:rsidP="00B461CE">
      <w:pPr>
        <w:pStyle w:val="prastasis"/>
        <w:spacing w:after="0" w:line="240" w:lineRule="auto"/>
        <w:jc w:val="right"/>
        <w:rPr>
          <w:rStyle w:val="Numatytasispastraiposriftas"/>
          <w:rFonts w:ascii="Times New Roman" w:eastAsia="Times New Roman" w:hAnsi="Times New Roman"/>
          <w:bCs/>
        </w:rPr>
      </w:pPr>
      <w:r>
        <w:rPr>
          <w:rStyle w:val="Numatytasispastraiposriftas"/>
          <w:rFonts w:ascii="Times New Roman" w:eastAsia="Times New Roman" w:hAnsi="Times New Roman"/>
          <w:bCs/>
        </w:rPr>
        <w:t>SPS priedas</w:t>
      </w:r>
      <w:r w:rsidRPr="00AD1DE5">
        <w:rPr>
          <w:rStyle w:val="Numatytasispastraiposriftas"/>
          <w:rFonts w:ascii="Times New Roman" w:eastAsia="Times New Roman" w:hAnsi="Times New Roman"/>
          <w:bCs/>
        </w:rPr>
        <w:t xml:space="preserve"> Nr. </w:t>
      </w:r>
      <w:r>
        <w:rPr>
          <w:rStyle w:val="Numatytasispastraiposriftas"/>
          <w:rFonts w:ascii="Times New Roman" w:eastAsia="Times New Roman" w:hAnsi="Times New Roman"/>
          <w:bCs/>
        </w:rPr>
        <w:t>1</w:t>
      </w:r>
    </w:p>
    <w:p w14:paraId="5F9074F9" w14:textId="77777777" w:rsidR="00FF686B" w:rsidRPr="00370C55" w:rsidRDefault="00FF686B" w:rsidP="00FF686B">
      <w:pPr>
        <w:pStyle w:val="Body2"/>
        <w:rPr>
          <w:lang w:val="lt-LT"/>
        </w:rPr>
      </w:pPr>
    </w:p>
    <w:p w14:paraId="43E44EE5" w14:textId="77777777" w:rsidR="00FF686B" w:rsidRPr="008F5C4C" w:rsidRDefault="00FF686B" w:rsidP="00FF686B">
      <w:pPr>
        <w:pStyle w:val="Body2"/>
        <w:jc w:val="center"/>
        <w:rPr>
          <w:rFonts w:eastAsia="Times New Roman" w:cs="Times New Roman"/>
          <w:b/>
          <w:bCs/>
          <w:color w:val="000000" w:themeColor="text1"/>
          <w:lang w:val="lt-LT"/>
        </w:rPr>
      </w:pPr>
      <w:r w:rsidRPr="008F5C4C">
        <w:rPr>
          <w:rFonts w:eastAsia="Times New Roman" w:cs="Times New Roman"/>
          <w:b/>
          <w:bCs/>
          <w:color w:val="000000" w:themeColor="text1"/>
          <w:lang w:val="lt-LT"/>
        </w:rPr>
        <w:t>Išorinės navigacijos sistemos NIOBE ir darbo stoties ODYSSEY VISION garantinis</w:t>
      </w:r>
    </w:p>
    <w:p w14:paraId="5209430E" w14:textId="367EE350" w:rsidR="001331A3" w:rsidRPr="002015CE" w:rsidRDefault="00FF686B" w:rsidP="00FF686B">
      <w:pPr>
        <w:pStyle w:val="Body2"/>
        <w:jc w:val="center"/>
        <w:rPr>
          <w:b/>
          <w:szCs w:val="24"/>
        </w:rPr>
      </w:pPr>
      <w:r>
        <w:rPr>
          <w:rFonts w:eastAsia="Times New Roman" w:cs="Times New Roman"/>
          <w:b/>
          <w:bCs/>
          <w:color w:val="000000" w:themeColor="text1"/>
          <w:lang w:val="lt-LT"/>
        </w:rPr>
        <w:t>a</w:t>
      </w:r>
      <w:r w:rsidRPr="008F5C4C">
        <w:rPr>
          <w:rFonts w:eastAsia="Times New Roman" w:cs="Times New Roman"/>
          <w:b/>
          <w:bCs/>
          <w:color w:val="000000" w:themeColor="text1"/>
          <w:lang w:val="lt-LT"/>
        </w:rPr>
        <w:t>ptarnavimas</w:t>
      </w:r>
      <w:r>
        <w:rPr>
          <w:rFonts w:eastAsia="Times New Roman" w:cs="Times New Roman"/>
          <w:b/>
          <w:bCs/>
          <w:color w:val="000000" w:themeColor="text1"/>
          <w:lang w:val="lt-LT"/>
        </w:rPr>
        <w:t xml:space="preserve"> (10243) </w:t>
      </w:r>
      <w:r w:rsidR="001331A3" w:rsidRPr="00F75BCE">
        <w:rPr>
          <w:b/>
        </w:rPr>
        <w:t>techninė specifikacija</w:t>
      </w:r>
    </w:p>
    <w:p w14:paraId="36DA6760" w14:textId="77777777" w:rsidR="00B702C5" w:rsidRDefault="00B702C5" w:rsidP="00B702C5"/>
    <w:tbl>
      <w:tblPr>
        <w:tblStyle w:val="TableGrid"/>
        <w:tblW w:w="9930" w:type="dxa"/>
        <w:tblInd w:w="0" w:type="dxa"/>
        <w:tblLayout w:type="fixed"/>
        <w:tblLook w:val="04A0" w:firstRow="1" w:lastRow="0" w:firstColumn="1" w:lastColumn="0" w:noHBand="0" w:noVBand="1"/>
      </w:tblPr>
      <w:tblGrid>
        <w:gridCol w:w="4960"/>
        <w:gridCol w:w="4970"/>
      </w:tblGrid>
      <w:tr w:rsidR="00B702C5" w14:paraId="0F043D3B" w14:textId="77777777" w:rsidTr="00C81359">
        <w:tc>
          <w:tcPr>
            <w:tcW w:w="4957" w:type="dxa"/>
            <w:tcBorders>
              <w:top w:val="single" w:sz="4" w:space="0" w:color="auto"/>
              <w:left w:val="single" w:sz="4" w:space="0" w:color="auto"/>
              <w:bottom w:val="single" w:sz="4" w:space="0" w:color="auto"/>
              <w:right w:val="single" w:sz="4" w:space="0" w:color="auto"/>
            </w:tcBorders>
            <w:hideMark/>
          </w:tcPr>
          <w:p w14:paraId="33B2AF33" w14:textId="5765A58B" w:rsidR="00B702C5" w:rsidRDefault="00B702C5" w:rsidP="00C81359">
            <w:pPr>
              <w:tabs>
                <w:tab w:val="center" w:pos="4931"/>
              </w:tabs>
              <w:jc w:val="center"/>
              <w:rPr>
                <w:b/>
                <w:bCs/>
                <w:sz w:val="20"/>
                <w:szCs w:val="20"/>
              </w:rPr>
            </w:pPr>
            <w:bookmarkStart w:id="0" w:name="_Hlk106691156"/>
            <w:r>
              <w:rPr>
                <w:b/>
                <w:bCs/>
                <w:color w:val="000000"/>
                <w:sz w:val="20"/>
                <w:szCs w:val="20"/>
              </w:rPr>
              <w:t xml:space="preserve">Išorinės navigacijos sistemos NIOBE (S/N 0264) ir darbo stoties ODYSSEY VISION (S/N 0068), gamintojas STEREOTAXIS, garantinis aptarnavimas </w:t>
            </w:r>
            <w:r>
              <w:rPr>
                <w:b/>
                <w:sz w:val="20"/>
                <w:szCs w:val="20"/>
              </w:rPr>
              <w:t>techninė specifikacija, kiekis ir įkainis</w:t>
            </w:r>
          </w:p>
        </w:tc>
        <w:tc>
          <w:tcPr>
            <w:tcW w:w="4966" w:type="dxa"/>
            <w:tcBorders>
              <w:top w:val="single" w:sz="4" w:space="0" w:color="auto"/>
              <w:left w:val="single" w:sz="4" w:space="0" w:color="auto"/>
              <w:bottom w:val="single" w:sz="4" w:space="0" w:color="auto"/>
              <w:right w:val="single" w:sz="4" w:space="0" w:color="auto"/>
            </w:tcBorders>
            <w:hideMark/>
          </w:tcPr>
          <w:p w14:paraId="68F80C7E" w14:textId="77777777" w:rsidR="00B702C5" w:rsidRDefault="00B702C5" w:rsidP="00C81359">
            <w:pPr>
              <w:spacing w:line="240" w:lineRule="atLeast"/>
              <w:jc w:val="both"/>
              <w:rPr>
                <w:b/>
                <w:bCs/>
                <w:sz w:val="20"/>
                <w:szCs w:val="20"/>
              </w:rPr>
            </w:pPr>
            <w:r>
              <w:rPr>
                <w:b/>
                <w:bCs/>
                <w:sz w:val="20"/>
                <w:szCs w:val="20"/>
              </w:rPr>
              <w:t>Warranty service for external navigation system NIOBE (S/N 0264) and workstation ODYSSEY VISION (S/N 0068), manufacturer STEREOTAXIS, technical specification, quantity and price</w:t>
            </w:r>
          </w:p>
        </w:tc>
      </w:tr>
      <w:tr w:rsidR="00B702C5" w14:paraId="7F3832CE" w14:textId="77777777" w:rsidTr="00C81359">
        <w:tc>
          <w:tcPr>
            <w:tcW w:w="4957" w:type="dxa"/>
            <w:tcBorders>
              <w:top w:val="single" w:sz="4" w:space="0" w:color="auto"/>
              <w:left w:val="single" w:sz="4" w:space="0" w:color="auto"/>
              <w:bottom w:val="single" w:sz="4" w:space="0" w:color="auto"/>
              <w:right w:val="single" w:sz="4" w:space="0" w:color="auto"/>
            </w:tcBorders>
            <w:hideMark/>
          </w:tcPr>
          <w:p w14:paraId="30ADB2C9" w14:textId="77777777" w:rsidR="00B702C5" w:rsidRDefault="00B702C5" w:rsidP="00C81359">
            <w:pPr>
              <w:pStyle w:val="ListParagraph"/>
              <w:widowControl w:val="0"/>
              <w:tabs>
                <w:tab w:val="left" w:pos="400"/>
              </w:tabs>
              <w:spacing w:line="240" w:lineRule="atLeast"/>
              <w:ind w:left="29"/>
              <w:jc w:val="both"/>
              <w:rPr>
                <w:rFonts w:ascii="Times New Roman" w:hAnsi="Times New Roman"/>
                <w:sz w:val="20"/>
                <w:szCs w:val="20"/>
              </w:rPr>
            </w:pPr>
            <w:r>
              <w:rPr>
                <w:rFonts w:ascii="Times New Roman" w:hAnsi="Times New Roman"/>
              </w:rPr>
              <w:t>Išorinės navigacijos sistemos „Niobe ES system“ (s/n 0264) ir darbo stoties „Odyssey vision workstation“ (s/n 0068), gamintojas Stereotaxis (toliau – NIOBE/ODYSSEY) aptarnavimo (remonto ir techninės priežiūros) paslaugų, įskaitant sugedusių dalių keitimą ir programinės įrangos perinstaliavimą, pirkimas (detalus aprašymas pateiktas 1 lentelėje):</w:t>
            </w:r>
          </w:p>
          <w:p w14:paraId="12B0A542" w14:textId="77777777" w:rsidR="00B702C5" w:rsidRDefault="00B702C5" w:rsidP="00C81359">
            <w:pPr>
              <w:pStyle w:val="ListParagraph"/>
              <w:widowControl w:val="0"/>
              <w:tabs>
                <w:tab w:val="left" w:pos="275"/>
                <w:tab w:val="left" w:pos="400"/>
              </w:tabs>
              <w:spacing w:line="240" w:lineRule="atLeast"/>
              <w:ind w:left="29"/>
              <w:jc w:val="both"/>
              <w:rPr>
                <w:rFonts w:ascii="Times New Roman" w:hAnsi="Times New Roman"/>
              </w:rPr>
            </w:pPr>
            <w:r>
              <w:rPr>
                <w:rFonts w:ascii="Times New Roman" w:hAnsi="Times New Roman"/>
              </w:rPr>
              <w:t>1.</w:t>
            </w:r>
            <w:r>
              <w:rPr>
                <w:rFonts w:ascii="Times New Roman" w:hAnsi="Times New Roman"/>
              </w:rPr>
              <w:tab/>
              <w:t>NIOBE/ODYSSEY gedimo atveju paslaugos teikėjas privalo šalinti gedimus ir keisti sugedusias dalis. Paslaugos teikėjas turės įsipareigoti, esant gedimui, remonto darbus pradėti ne vėliau kaip per 24 val. po iškvietimo gavimo.</w:t>
            </w:r>
          </w:p>
          <w:p w14:paraId="1DC09F75"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2.</w:t>
            </w:r>
            <w:r>
              <w:rPr>
                <w:rFonts w:ascii="Times New Roman" w:hAnsi="Times New Roman"/>
              </w:rPr>
              <w:tab/>
              <w:t>NIOBE/ODYSSEY techninės priežiūros periodiškumas – ne rečiau kaip kartą per 12 mėnesių pagal šalių suderintą grafiką.</w:t>
            </w:r>
          </w:p>
          <w:p w14:paraId="01B2141D"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3.</w:t>
            </w:r>
            <w:r>
              <w:rPr>
                <w:rFonts w:ascii="Times New Roman" w:hAnsi="Times New Roman"/>
              </w:rPr>
              <w:tab/>
              <w:t>Paslaugos teikėjas kartu su pasiūlymu pateiks NIOBE/ODYSSEY techninės priežiūros reglamentą ir techninės priežiūros protokolo šabloną, kurie parengti pagal gamintojo dokumentus ir reikalavimus.</w:t>
            </w:r>
          </w:p>
          <w:p w14:paraId="27BA5063"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4.</w:t>
            </w:r>
            <w:r>
              <w:rPr>
                <w:rFonts w:ascii="Times New Roman" w:hAnsi="Times New Roman"/>
              </w:rPr>
              <w:tab/>
              <w:t>Jei techninės priežiūros metu nustatoma, kad dalys yra arti jų susidėvėjimo ribos arba dalių charakteristikos yra arti leistinų ribinių verčių, kurias viršijus NIOBE/ODYSSEY gali sugesti - paslaugos teikėjas pakeis susidėvėjusias dalis naujomis.</w:t>
            </w:r>
          </w:p>
          <w:p w14:paraId="31AAB41E"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5.</w:t>
            </w:r>
            <w:r>
              <w:rPr>
                <w:rFonts w:ascii="Times New Roman" w:hAnsi="Times New Roman"/>
              </w:rPr>
              <w:tab/>
              <w:t>Paslaugos teikėjas turės įsipareigoti atlikti darbus kokybiškai, naudojant kokybiškas medžiagas bei atsargines dalis, laikantis galiojančių standartų ir gamintojo nustatytų privalomųjų ir rekomenduotinų techninių bei programinės įrangos atnaujinimo techninių sąlygų.</w:t>
            </w:r>
          </w:p>
          <w:p w14:paraId="7CCCBEAF"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6.</w:t>
            </w:r>
            <w:r>
              <w:rPr>
                <w:rFonts w:ascii="Times New Roman" w:hAnsi="Times New Roman"/>
              </w:rPr>
              <w:tab/>
              <w:t>Tiekėjas kartu su pasiūlymu turi pateikti dokumentą, patvirtinantį, kad paslaugos tiekėjas yra NIOBE/ODYSSEY gamintojo įgaliotas atlikti jos techninį aptarnavimą arba turi rašytinį susitarimą su kitu ūkio subjektu, kuris atliks šios įrangos aptarnavimą. Ši sąlyga netaikoma įrangos gamintojui.</w:t>
            </w:r>
          </w:p>
          <w:p w14:paraId="55BC2CF8"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7.</w:t>
            </w:r>
            <w:r>
              <w:rPr>
                <w:rFonts w:ascii="Times New Roman" w:hAnsi="Times New Roman"/>
              </w:rPr>
              <w:tab/>
              <w:t>Visos išlaidos (įskaitant, bet neapsiribojant transportavimu, draudimu, muitais, kelionių bei apgyvendinimo išlaidomis ir pan.), susijusios su nurodytu paslaugų teikimu, įskaitytos į sutarties sumą.</w:t>
            </w:r>
          </w:p>
          <w:p w14:paraId="2F16076D" w14:textId="77777777" w:rsidR="00B702C5" w:rsidRDefault="00B702C5" w:rsidP="00C81359">
            <w:pPr>
              <w:pStyle w:val="ListParagraph"/>
              <w:widowControl w:val="0"/>
              <w:tabs>
                <w:tab w:val="left" w:pos="400"/>
              </w:tabs>
              <w:spacing w:line="240" w:lineRule="atLeast"/>
              <w:ind w:left="29"/>
              <w:jc w:val="both"/>
              <w:rPr>
                <w:rFonts w:ascii="Times New Roman" w:hAnsi="Times New Roman"/>
              </w:rPr>
            </w:pPr>
            <w:r>
              <w:rPr>
                <w:rFonts w:ascii="Times New Roman" w:hAnsi="Times New Roman"/>
              </w:rPr>
              <w:t>8.</w:t>
            </w:r>
            <w:r>
              <w:rPr>
                <w:rFonts w:ascii="Times New Roman" w:hAnsi="Times New Roman"/>
              </w:rPr>
              <w:tab/>
              <w:t xml:space="preserve">Paslaugos teikėjui sutarties galiojimo laikotarpiu bus leista nuotoliniu būdu prisijungti prie NIOBE/ODYSSEY naudojant IPSec VPN, prisijungiant iš vieno Paslaugos teikėjo įrenginio, </w:t>
            </w:r>
            <w:r>
              <w:rPr>
                <w:rFonts w:ascii="Times New Roman" w:hAnsi="Times New Roman"/>
              </w:rPr>
              <w:lastRenderedPageBreak/>
              <w:t>turinčio fiksuotą IP adresą.</w:t>
            </w:r>
          </w:p>
        </w:tc>
        <w:tc>
          <w:tcPr>
            <w:tcW w:w="4966" w:type="dxa"/>
            <w:tcBorders>
              <w:top w:val="single" w:sz="4" w:space="0" w:color="auto"/>
              <w:left w:val="single" w:sz="4" w:space="0" w:color="auto"/>
              <w:bottom w:val="single" w:sz="4" w:space="0" w:color="auto"/>
              <w:right w:val="single" w:sz="4" w:space="0" w:color="auto"/>
            </w:tcBorders>
            <w:hideMark/>
          </w:tcPr>
          <w:p w14:paraId="7B27B88F" w14:textId="77777777" w:rsidR="00B702C5" w:rsidRDefault="00B702C5" w:rsidP="00C81359">
            <w:pPr>
              <w:spacing w:line="240" w:lineRule="atLeast"/>
              <w:jc w:val="both"/>
              <w:rPr>
                <w:sz w:val="20"/>
                <w:szCs w:val="20"/>
              </w:rPr>
            </w:pPr>
            <w:r>
              <w:rPr>
                <w:sz w:val="20"/>
                <w:szCs w:val="20"/>
              </w:rPr>
              <w:lastRenderedPageBreak/>
              <w:t>The purchase of the external navigation system Niobe ES system (s/n 0264) and Odyssey vision workstation (s/n 0068), manufacturer Stereotaxis, (hereinafter in the text – NIOBE/ODYSSEY)  warranty service (repair and maintenance) including defective parts and software reinstallation (a detailed description is provided in Table 1):</w:t>
            </w:r>
          </w:p>
          <w:p w14:paraId="3DE04F98"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sz w:val="20"/>
                <w:szCs w:val="20"/>
              </w:rPr>
            </w:pPr>
            <w:r>
              <w:rPr>
                <w:rFonts w:ascii="Times New Roman" w:hAnsi="Times New Roman"/>
              </w:rPr>
              <w:t>In the event of a fault in NIOBE / ODYSSEY, the service provider must rectify the fault and replace the defective parts. The service provider will have to undertake to start repair work within 24 hours in the event of a breakdown. after receiving the call.</w:t>
            </w:r>
          </w:p>
          <w:p w14:paraId="615A479E"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NIOBE / ODYSSEY maintenance frequency - at least once every 12 months according to the schedule agreed by the parties.</w:t>
            </w:r>
          </w:p>
          <w:p w14:paraId="5F7A6A96"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The Service Provider will provide the NIOBE / ODYSSEY Maintenance Regulation and the Maintenance Protocol Template with the proposal. Maintenance Regulation and the Maintenance Protocol Template</w:t>
            </w:r>
            <w:r w:rsidRPr="001F2229">
              <w:rPr>
                <w:rFonts w:ascii="Times New Roman" w:hAnsi="Times New Roman"/>
              </w:rPr>
              <w:t xml:space="preserve"> prepared in accordance with the manufacturer's documentation and requirements</w:t>
            </w:r>
          </w:p>
          <w:p w14:paraId="7657F5CC"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If it is determined during maintenance that the parts are close to their wear limits or that the characteristics of the parts are close to the permissible limits above which NIOBE / ODYSSEY may fail, the service provider will replace the worn parts with new ones.</w:t>
            </w:r>
          </w:p>
          <w:p w14:paraId="277D963C"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The service provider will have to undertake to perform the work in a quality manner, using quality materials and spare parts, in accordance with the applicable standards and the mandatory and recommended technical conditions for updating the software and software set by the manufacturer.</w:t>
            </w:r>
          </w:p>
          <w:p w14:paraId="17F950D8"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The Supplier shall submit with the tender a document confirming that the Service Provider is authorized by the NIOBE / ODYSSEY manufacturer to perform its maintenance or has a written agreement with another economic entity that will perform the maintenance of this equipment. This condition does not apply to the equipment manufacturer.</w:t>
            </w:r>
          </w:p>
          <w:p w14:paraId="529F282A" w14:textId="77777777" w:rsidR="00B702C5" w:rsidRDefault="00B702C5" w:rsidP="00B702C5">
            <w:pPr>
              <w:pStyle w:val="ListParagraph"/>
              <w:numPr>
                <w:ilvl w:val="0"/>
                <w:numId w:val="3"/>
              </w:numPr>
              <w:tabs>
                <w:tab w:val="left" w:pos="176"/>
              </w:tabs>
              <w:spacing w:after="0" w:line="240" w:lineRule="atLeast"/>
              <w:ind w:left="0" w:firstLine="0"/>
              <w:jc w:val="both"/>
              <w:rPr>
                <w:rFonts w:ascii="Times New Roman" w:hAnsi="Times New Roman"/>
              </w:rPr>
            </w:pPr>
            <w:r>
              <w:rPr>
                <w:rFonts w:ascii="Times New Roman" w:hAnsi="Times New Roman"/>
              </w:rPr>
              <w:t>All costs (including, but not limited to, transportation, insurance, customs, travel and accommodation costs, etc.) related to the specified provision of services are included in the contract amount.</w:t>
            </w:r>
          </w:p>
          <w:p w14:paraId="3ED4A7DA" w14:textId="77777777" w:rsidR="00B702C5" w:rsidRDefault="00B702C5" w:rsidP="00B702C5">
            <w:pPr>
              <w:pStyle w:val="ListParagraph"/>
              <w:numPr>
                <w:ilvl w:val="0"/>
                <w:numId w:val="3"/>
              </w:numPr>
              <w:tabs>
                <w:tab w:val="left" w:pos="176"/>
              </w:tabs>
              <w:spacing w:after="0" w:line="240" w:lineRule="atLeast"/>
              <w:ind w:left="0" w:firstLine="0"/>
              <w:jc w:val="both"/>
            </w:pPr>
            <w:r>
              <w:rPr>
                <w:rFonts w:ascii="Times New Roman" w:hAnsi="Times New Roman"/>
              </w:rPr>
              <w:lastRenderedPageBreak/>
              <w:t>During the term of the Agreement, the Service Provider will be permitted to remotely connect to NIOBE / ODYSSEY using an IPSec VPN by connecting from a single Service Provider device with a fixed IP address.</w:t>
            </w:r>
          </w:p>
        </w:tc>
      </w:tr>
      <w:bookmarkEnd w:id="0"/>
    </w:tbl>
    <w:p w14:paraId="2A01F628" w14:textId="77777777" w:rsidR="00B702C5" w:rsidRDefault="00B702C5" w:rsidP="00B702C5">
      <w:pPr>
        <w:spacing w:line="240" w:lineRule="atLeast"/>
        <w:jc w:val="right"/>
        <w:rPr>
          <w:sz w:val="20"/>
          <w:szCs w:val="20"/>
          <w:lang w:eastAsia="en-GB"/>
        </w:rPr>
      </w:pPr>
    </w:p>
    <w:p w14:paraId="284D36F9" w14:textId="77777777" w:rsidR="00B702C5" w:rsidRDefault="00B702C5" w:rsidP="00B702C5">
      <w:pPr>
        <w:rPr>
          <w:sz w:val="20"/>
          <w:szCs w:val="20"/>
        </w:rPr>
      </w:pPr>
    </w:p>
    <w:p w14:paraId="3542AB26" w14:textId="77777777" w:rsidR="00B702C5" w:rsidRDefault="00B702C5" w:rsidP="00B702C5">
      <w:pPr>
        <w:spacing w:line="240" w:lineRule="atLeast"/>
        <w:jc w:val="right"/>
        <w:rPr>
          <w:sz w:val="20"/>
          <w:szCs w:val="20"/>
        </w:rPr>
      </w:pPr>
      <w:r>
        <w:rPr>
          <w:sz w:val="20"/>
          <w:szCs w:val="20"/>
        </w:rPr>
        <w:t>1 lentelė / Table No.1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510"/>
        <w:gridCol w:w="1170"/>
        <w:gridCol w:w="3510"/>
        <w:gridCol w:w="1170"/>
      </w:tblGrid>
      <w:tr w:rsidR="00B702C5" w14:paraId="3B0A5B96" w14:textId="77777777" w:rsidTr="00C81359">
        <w:trPr>
          <w:trHeight w:val="428"/>
        </w:trPr>
        <w:tc>
          <w:tcPr>
            <w:tcW w:w="416" w:type="dxa"/>
            <w:tcBorders>
              <w:top w:val="single" w:sz="4" w:space="0" w:color="auto"/>
              <w:left w:val="single" w:sz="4" w:space="0" w:color="auto"/>
              <w:bottom w:val="single" w:sz="4" w:space="0" w:color="auto"/>
              <w:right w:val="single" w:sz="4" w:space="0" w:color="auto"/>
            </w:tcBorders>
          </w:tcPr>
          <w:p w14:paraId="59ACAF96" w14:textId="77777777" w:rsidR="00B702C5" w:rsidRDefault="00B702C5" w:rsidP="00C81359">
            <w:pPr>
              <w:jc w:val="center"/>
              <w:rPr>
                <w:b/>
                <w:bCs/>
                <w:sz w:val="20"/>
                <w:szCs w:val="20"/>
              </w:rPr>
            </w:pPr>
            <w:bookmarkStart w:id="1" w:name="_Hlk106691203"/>
          </w:p>
        </w:tc>
        <w:tc>
          <w:tcPr>
            <w:tcW w:w="3510" w:type="dxa"/>
            <w:tcBorders>
              <w:top w:val="single" w:sz="4" w:space="0" w:color="auto"/>
              <w:left w:val="single" w:sz="4" w:space="0" w:color="auto"/>
              <w:bottom w:val="single" w:sz="4" w:space="0" w:color="auto"/>
              <w:right w:val="single" w:sz="4" w:space="0" w:color="auto"/>
            </w:tcBorders>
            <w:hideMark/>
          </w:tcPr>
          <w:p w14:paraId="50D90514" w14:textId="77777777" w:rsidR="00B702C5" w:rsidRDefault="00B702C5" w:rsidP="00C81359">
            <w:pPr>
              <w:jc w:val="center"/>
              <w:rPr>
                <w:b/>
                <w:bCs/>
                <w:sz w:val="20"/>
                <w:szCs w:val="20"/>
                <w:lang w:eastAsia="en-GB"/>
              </w:rPr>
            </w:pPr>
            <w:r>
              <w:rPr>
                <w:b/>
                <w:bCs/>
                <w:sz w:val="20"/>
                <w:szCs w:val="20"/>
              </w:rPr>
              <w:t>Paslaugos</w:t>
            </w:r>
          </w:p>
        </w:tc>
        <w:tc>
          <w:tcPr>
            <w:tcW w:w="1170" w:type="dxa"/>
            <w:tcBorders>
              <w:top w:val="single" w:sz="4" w:space="0" w:color="auto"/>
              <w:left w:val="single" w:sz="4" w:space="0" w:color="auto"/>
              <w:bottom w:val="single" w:sz="4" w:space="0" w:color="auto"/>
              <w:right w:val="single" w:sz="4" w:space="0" w:color="auto"/>
            </w:tcBorders>
            <w:hideMark/>
          </w:tcPr>
          <w:p w14:paraId="30A4A636" w14:textId="77777777" w:rsidR="00B702C5" w:rsidRDefault="00B702C5" w:rsidP="00C81359">
            <w:pPr>
              <w:jc w:val="center"/>
              <w:rPr>
                <w:b/>
                <w:bCs/>
                <w:sz w:val="20"/>
                <w:szCs w:val="20"/>
              </w:rPr>
            </w:pPr>
            <w:r>
              <w:rPr>
                <w:b/>
                <w:bCs/>
                <w:sz w:val="20"/>
                <w:szCs w:val="20"/>
              </w:rPr>
              <w:t>Sąlygos</w:t>
            </w:r>
          </w:p>
        </w:tc>
        <w:tc>
          <w:tcPr>
            <w:tcW w:w="3510" w:type="dxa"/>
            <w:tcBorders>
              <w:top w:val="single" w:sz="4" w:space="0" w:color="auto"/>
              <w:left w:val="single" w:sz="4" w:space="0" w:color="auto"/>
              <w:bottom w:val="single" w:sz="4" w:space="0" w:color="auto"/>
              <w:right w:val="single" w:sz="4" w:space="0" w:color="auto"/>
            </w:tcBorders>
            <w:hideMark/>
          </w:tcPr>
          <w:p w14:paraId="37892635" w14:textId="77777777" w:rsidR="00B702C5" w:rsidRDefault="00B702C5" w:rsidP="00C81359">
            <w:pPr>
              <w:jc w:val="center"/>
              <w:rPr>
                <w:b/>
                <w:bCs/>
                <w:sz w:val="20"/>
                <w:szCs w:val="20"/>
              </w:rPr>
            </w:pPr>
            <w:r>
              <w:rPr>
                <w:b/>
                <w:bCs/>
                <w:sz w:val="20"/>
                <w:szCs w:val="20"/>
              </w:rPr>
              <w:t>Service</w:t>
            </w:r>
          </w:p>
        </w:tc>
        <w:tc>
          <w:tcPr>
            <w:tcW w:w="1170" w:type="dxa"/>
            <w:tcBorders>
              <w:top w:val="single" w:sz="4" w:space="0" w:color="auto"/>
              <w:left w:val="single" w:sz="4" w:space="0" w:color="auto"/>
              <w:bottom w:val="single" w:sz="4" w:space="0" w:color="auto"/>
              <w:right w:val="single" w:sz="4" w:space="0" w:color="auto"/>
            </w:tcBorders>
            <w:hideMark/>
          </w:tcPr>
          <w:p w14:paraId="238B88C3" w14:textId="77777777" w:rsidR="00B702C5" w:rsidRDefault="00B702C5" w:rsidP="00C81359">
            <w:pPr>
              <w:jc w:val="center"/>
              <w:rPr>
                <w:b/>
                <w:bCs/>
                <w:sz w:val="20"/>
                <w:szCs w:val="20"/>
              </w:rPr>
            </w:pPr>
            <w:r>
              <w:rPr>
                <w:b/>
                <w:bCs/>
                <w:sz w:val="20"/>
                <w:szCs w:val="20"/>
              </w:rPr>
              <w:t>Conditions</w:t>
            </w:r>
          </w:p>
        </w:tc>
      </w:tr>
      <w:tr w:rsidR="00B702C5" w14:paraId="78B2363B" w14:textId="77777777" w:rsidTr="00C81359">
        <w:trPr>
          <w:trHeight w:val="1149"/>
        </w:trPr>
        <w:tc>
          <w:tcPr>
            <w:tcW w:w="416" w:type="dxa"/>
            <w:tcBorders>
              <w:top w:val="single" w:sz="4" w:space="0" w:color="auto"/>
              <w:left w:val="single" w:sz="4" w:space="0" w:color="auto"/>
              <w:bottom w:val="single" w:sz="4" w:space="0" w:color="auto"/>
              <w:right w:val="single" w:sz="4" w:space="0" w:color="auto"/>
            </w:tcBorders>
            <w:hideMark/>
          </w:tcPr>
          <w:p w14:paraId="17684C8E" w14:textId="77777777" w:rsidR="00B702C5" w:rsidRDefault="00B702C5" w:rsidP="00C81359">
            <w:pPr>
              <w:rPr>
                <w:sz w:val="20"/>
                <w:szCs w:val="20"/>
              </w:rPr>
            </w:pPr>
            <w:r>
              <w:rPr>
                <w:sz w:val="20"/>
                <w:szCs w:val="20"/>
              </w:rPr>
              <w:t>1</w:t>
            </w:r>
          </w:p>
        </w:tc>
        <w:tc>
          <w:tcPr>
            <w:tcW w:w="3510" w:type="dxa"/>
            <w:tcBorders>
              <w:top w:val="single" w:sz="4" w:space="0" w:color="auto"/>
              <w:left w:val="single" w:sz="4" w:space="0" w:color="auto"/>
              <w:bottom w:val="single" w:sz="4" w:space="0" w:color="auto"/>
              <w:right w:val="single" w:sz="4" w:space="0" w:color="auto"/>
            </w:tcBorders>
            <w:hideMark/>
          </w:tcPr>
          <w:p w14:paraId="174DACDE" w14:textId="77777777" w:rsidR="00B702C5" w:rsidRDefault="00B702C5" w:rsidP="00C81359">
            <w:pPr>
              <w:rPr>
                <w:sz w:val="20"/>
                <w:szCs w:val="20"/>
              </w:rPr>
            </w:pPr>
            <w:r>
              <w:rPr>
                <w:sz w:val="20"/>
                <w:szCs w:val="20"/>
              </w:rPr>
              <w:t>Programinės įrangos aptarnavimas:</w:t>
            </w:r>
          </w:p>
          <w:p w14:paraId="19ED8CDA" w14:textId="77777777" w:rsidR="00B702C5" w:rsidRDefault="00B702C5" w:rsidP="00C81359">
            <w:pPr>
              <w:rPr>
                <w:sz w:val="20"/>
                <w:szCs w:val="20"/>
              </w:rPr>
            </w:pPr>
            <w:r>
              <w:rPr>
                <w:sz w:val="20"/>
                <w:szCs w:val="20"/>
              </w:rPr>
              <w:t>1.1. Programinės įrangos perinstaliavimas/atnaujinimas</w:t>
            </w:r>
          </w:p>
          <w:p w14:paraId="4941569E" w14:textId="77777777" w:rsidR="00B702C5" w:rsidRDefault="00B702C5" w:rsidP="00C81359">
            <w:pPr>
              <w:rPr>
                <w:sz w:val="20"/>
                <w:szCs w:val="20"/>
              </w:rPr>
            </w:pPr>
            <w:r>
              <w:rPr>
                <w:sz w:val="20"/>
                <w:szCs w:val="20"/>
              </w:rPr>
              <w:t>1.2. Operacinės sistemos kibernetinio saugumo programų atnaujinimai</w:t>
            </w:r>
          </w:p>
          <w:p w14:paraId="6AA4D9EA" w14:textId="77777777" w:rsidR="00B702C5" w:rsidRDefault="00B702C5" w:rsidP="00C81359">
            <w:pPr>
              <w:rPr>
                <w:sz w:val="20"/>
                <w:szCs w:val="20"/>
              </w:rPr>
            </w:pPr>
            <w:r>
              <w:rPr>
                <w:sz w:val="20"/>
                <w:szCs w:val="20"/>
              </w:rPr>
              <w:t>1.3. Antivirusinių programų atnaujinimas (prisijungus per VPN)</w:t>
            </w:r>
          </w:p>
        </w:tc>
        <w:tc>
          <w:tcPr>
            <w:tcW w:w="1170" w:type="dxa"/>
            <w:tcBorders>
              <w:top w:val="single" w:sz="4" w:space="0" w:color="auto"/>
              <w:left w:val="single" w:sz="4" w:space="0" w:color="auto"/>
              <w:bottom w:val="single" w:sz="4" w:space="0" w:color="auto"/>
              <w:right w:val="single" w:sz="4" w:space="0" w:color="auto"/>
            </w:tcBorders>
          </w:tcPr>
          <w:p w14:paraId="5148E323" w14:textId="77777777" w:rsidR="00B702C5" w:rsidRDefault="00B702C5" w:rsidP="00C81359">
            <w:pPr>
              <w:rPr>
                <w:sz w:val="20"/>
                <w:szCs w:val="20"/>
              </w:rPr>
            </w:pPr>
          </w:p>
          <w:p w14:paraId="743E9C97" w14:textId="77777777" w:rsidR="00B702C5" w:rsidRDefault="00B702C5" w:rsidP="00C81359">
            <w:pPr>
              <w:rPr>
                <w:sz w:val="20"/>
                <w:szCs w:val="20"/>
              </w:rPr>
            </w:pPr>
            <w:r>
              <w:rPr>
                <w:sz w:val="20"/>
                <w:szCs w:val="20"/>
              </w:rPr>
              <w:t>Įskaityta</w:t>
            </w:r>
          </w:p>
          <w:p w14:paraId="210A35C2" w14:textId="77777777" w:rsidR="00B702C5" w:rsidRDefault="00B702C5" w:rsidP="00C81359">
            <w:pPr>
              <w:rPr>
                <w:sz w:val="20"/>
                <w:szCs w:val="20"/>
              </w:rPr>
            </w:pPr>
          </w:p>
          <w:p w14:paraId="1FBD1258" w14:textId="77777777" w:rsidR="00B702C5" w:rsidRDefault="00B702C5" w:rsidP="00C81359">
            <w:pPr>
              <w:rPr>
                <w:sz w:val="20"/>
                <w:szCs w:val="20"/>
              </w:rPr>
            </w:pPr>
            <w:r>
              <w:rPr>
                <w:sz w:val="20"/>
                <w:szCs w:val="20"/>
              </w:rPr>
              <w:t>Įskaityta</w:t>
            </w:r>
          </w:p>
          <w:p w14:paraId="33757CA8" w14:textId="77777777" w:rsidR="00B702C5" w:rsidRDefault="00B702C5" w:rsidP="00C81359">
            <w:pPr>
              <w:rPr>
                <w:sz w:val="20"/>
                <w:szCs w:val="20"/>
              </w:rPr>
            </w:pPr>
          </w:p>
          <w:p w14:paraId="3D3C05D5" w14:textId="77777777" w:rsidR="00B702C5" w:rsidRDefault="00B702C5" w:rsidP="00C81359">
            <w:pPr>
              <w:rPr>
                <w:sz w:val="20"/>
                <w:szCs w:val="20"/>
              </w:rPr>
            </w:pPr>
            <w:r>
              <w:rPr>
                <w:sz w:val="20"/>
                <w:szCs w:val="20"/>
              </w:rPr>
              <w:t>Įskaityta</w:t>
            </w:r>
          </w:p>
        </w:tc>
        <w:tc>
          <w:tcPr>
            <w:tcW w:w="3510" w:type="dxa"/>
            <w:tcBorders>
              <w:top w:val="single" w:sz="4" w:space="0" w:color="auto"/>
              <w:left w:val="single" w:sz="4" w:space="0" w:color="auto"/>
              <w:bottom w:val="single" w:sz="4" w:space="0" w:color="auto"/>
              <w:right w:val="single" w:sz="4" w:space="0" w:color="auto"/>
            </w:tcBorders>
            <w:hideMark/>
          </w:tcPr>
          <w:p w14:paraId="42B89D30" w14:textId="77777777" w:rsidR="00B702C5" w:rsidRDefault="00B702C5" w:rsidP="00C81359">
            <w:pPr>
              <w:rPr>
                <w:sz w:val="20"/>
                <w:szCs w:val="20"/>
              </w:rPr>
            </w:pPr>
            <w:r>
              <w:rPr>
                <w:sz w:val="20"/>
                <w:szCs w:val="20"/>
              </w:rPr>
              <w:t>Software service:</w:t>
            </w:r>
          </w:p>
          <w:p w14:paraId="3F7307FD" w14:textId="77777777" w:rsidR="00B702C5" w:rsidRDefault="00B702C5" w:rsidP="00C81359">
            <w:pPr>
              <w:rPr>
                <w:sz w:val="20"/>
                <w:szCs w:val="20"/>
              </w:rPr>
            </w:pPr>
            <w:r>
              <w:rPr>
                <w:sz w:val="20"/>
                <w:szCs w:val="20"/>
              </w:rPr>
              <w:t>1.1. Software reinstallation / upgrade</w:t>
            </w:r>
          </w:p>
          <w:p w14:paraId="3B064EAD" w14:textId="77777777" w:rsidR="00B702C5" w:rsidRDefault="00B702C5" w:rsidP="00C81359">
            <w:pPr>
              <w:rPr>
                <w:sz w:val="20"/>
                <w:szCs w:val="20"/>
              </w:rPr>
            </w:pPr>
            <w:r>
              <w:rPr>
                <w:sz w:val="20"/>
                <w:szCs w:val="20"/>
              </w:rPr>
              <w:t>1.2. Operating system cyber security program updates</w:t>
            </w:r>
          </w:p>
          <w:p w14:paraId="7C050D8C" w14:textId="77777777" w:rsidR="00B702C5" w:rsidRDefault="00B702C5" w:rsidP="00C81359">
            <w:pPr>
              <w:rPr>
                <w:sz w:val="20"/>
                <w:szCs w:val="20"/>
              </w:rPr>
            </w:pPr>
            <w:r>
              <w:rPr>
                <w:sz w:val="20"/>
                <w:szCs w:val="20"/>
              </w:rPr>
              <w:t>1.3. Antivirus software update (when connected via VPN)</w:t>
            </w:r>
          </w:p>
        </w:tc>
        <w:tc>
          <w:tcPr>
            <w:tcW w:w="1170" w:type="dxa"/>
            <w:tcBorders>
              <w:top w:val="single" w:sz="4" w:space="0" w:color="auto"/>
              <w:left w:val="single" w:sz="4" w:space="0" w:color="auto"/>
              <w:bottom w:val="single" w:sz="4" w:space="0" w:color="auto"/>
              <w:right w:val="single" w:sz="4" w:space="0" w:color="auto"/>
            </w:tcBorders>
          </w:tcPr>
          <w:p w14:paraId="68E5B7BB" w14:textId="77777777" w:rsidR="00B702C5" w:rsidRDefault="00B702C5" w:rsidP="00C81359">
            <w:pPr>
              <w:rPr>
                <w:sz w:val="20"/>
                <w:szCs w:val="20"/>
              </w:rPr>
            </w:pPr>
          </w:p>
          <w:p w14:paraId="4FC67526" w14:textId="77777777" w:rsidR="00B702C5" w:rsidRDefault="00B702C5" w:rsidP="00C81359">
            <w:pPr>
              <w:rPr>
                <w:sz w:val="20"/>
                <w:szCs w:val="20"/>
              </w:rPr>
            </w:pPr>
            <w:r>
              <w:rPr>
                <w:sz w:val="20"/>
                <w:szCs w:val="20"/>
              </w:rPr>
              <w:t>Included</w:t>
            </w:r>
          </w:p>
          <w:p w14:paraId="0B890215" w14:textId="77777777" w:rsidR="00B702C5" w:rsidRDefault="00B702C5" w:rsidP="00C81359">
            <w:pPr>
              <w:rPr>
                <w:sz w:val="20"/>
                <w:szCs w:val="20"/>
              </w:rPr>
            </w:pPr>
            <w:r>
              <w:rPr>
                <w:sz w:val="20"/>
                <w:szCs w:val="20"/>
              </w:rPr>
              <w:t>Included</w:t>
            </w:r>
          </w:p>
          <w:p w14:paraId="222199DA" w14:textId="77777777" w:rsidR="00B702C5" w:rsidRDefault="00B702C5" w:rsidP="00C81359">
            <w:pPr>
              <w:rPr>
                <w:sz w:val="20"/>
                <w:szCs w:val="20"/>
              </w:rPr>
            </w:pPr>
          </w:p>
          <w:p w14:paraId="7E17F8D6" w14:textId="77777777" w:rsidR="00B702C5" w:rsidRDefault="00B702C5" w:rsidP="00C81359">
            <w:pPr>
              <w:rPr>
                <w:sz w:val="20"/>
                <w:szCs w:val="20"/>
              </w:rPr>
            </w:pPr>
            <w:r>
              <w:rPr>
                <w:sz w:val="20"/>
                <w:szCs w:val="20"/>
              </w:rPr>
              <w:t>Included</w:t>
            </w:r>
          </w:p>
        </w:tc>
      </w:tr>
      <w:tr w:rsidR="00B702C5" w14:paraId="0259F47D" w14:textId="77777777" w:rsidTr="00C81359">
        <w:trPr>
          <w:trHeight w:val="571"/>
        </w:trPr>
        <w:tc>
          <w:tcPr>
            <w:tcW w:w="416" w:type="dxa"/>
            <w:tcBorders>
              <w:top w:val="single" w:sz="4" w:space="0" w:color="auto"/>
              <w:left w:val="single" w:sz="4" w:space="0" w:color="auto"/>
              <w:bottom w:val="single" w:sz="4" w:space="0" w:color="auto"/>
              <w:right w:val="single" w:sz="4" w:space="0" w:color="auto"/>
            </w:tcBorders>
            <w:hideMark/>
          </w:tcPr>
          <w:p w14:paraId="67D76573" w14:textId="77777777" w:rsidR="00B702C5" w:rsidRDefault="00B702C5" w:rsidP="00C81359">
            <w:pPr>
              <w:rPr>
                <w:sz w:val="20"/>
                <w:szCs w:val="20"/>
              </w:rPr>
            </w:pPr>
            <w:r>
              <w:rPr>
                <w:sz w:val="20"/>
                <w:szCs w:val="20"/>
              </w:rPr>
              <w:t>2</w:t>
            </w:r>
          </w:p>
        </w:tc>
        <w:tc>
          <w:tcPr>
            <w:tcW w:w="3510" w:type="dxa"/>
            <w:tcBorders>
              <w:top w:val="single" w:sz="4" w:space="0" w:color="auto"/>
              <w:left w:val="single" w:sz="4" w:space="0" w:color="auto"/>
              <w:bottom w:val="single" w:sz="4" w:space="0" w:color="auto"/>
              <w:right w:val="single" w:sz="4" w:space="0" w:color="auto"/>
            </w:tcBorders>
            <w:hideMark/>
          </w:tcPr>
          <w:p w14:paraId="4D5BDBE5" w14:textId="77777777" w:rsidR="00B702C5" w:rsidRDefault="00B702C5" w:rsidP="00C81359">
            <w:pPr>
              <w:rPr>
                <w:sz w:val="20"/>
                <w:szCs w:val="20"/>
              </w:rPr>
            </w:pPr>
            <w:r>
              <w:rPr>
                <w:sz w:val="20"/>
                <w:szCs w:val="20"/>
              </w:rPr>
              <w:t>Visos eksploatacijai reikalingos dalys ir medžiagos, įskaitant jų pakeitimo ir sistemos derinimo darbus (panaudotos dalys grąžinamos paslaugos teikėjui)</w:t>
            </w:r>
          </w:p>
        </w:tc>
        <w:tc>
          <w:tcPr>
            <w:tcW w:w="1170" w:type="dxa"/>
            <w:tcBorders>
              <w:top w:val="single" w:sz="4" w:space="0" w:color="auto"/>
              <w:left w:val="single" w:sz="4" w:space="0" w:color="auto"/>
              <w:bottom w:val="single" w:sz="4" w:space="0" w:color="auto"/>
              <w:right w:val="single" w:sz="4" w:space="0" w:color="auto"/>
            </w:tcBorders>
            <w:hideMark/>
          </w:tcPr>
          <w:p w14:paraId="580FC857" w14:textId="77777777" w:rsidR="00B702C5" w:rsidRDefault="00B702C5" w:rsidP="00C81359">
            <w:pPr>
              <w:rPr>
                <w:sz w:val="20"/>
                <w:szCs w:val="20"/>
              </w:rPr>
            </w:pPr>
            <w:r>
              <w:rPr>
                <w:sz w:val="20"/>
                <w:szCs w:val="20"/>
              </w:rPr>
              <w:t>Įskaityta</w:t>
            </w:r>
          </w:p>
        </w:tc>
        <w:tc>
          <w:tcPr>
            <w:tcW w:w="3510" w:type="dxa"/>
            <w:tcBorders>
              <w:top w:val="single" w:sz="4" w:space="0" w:color="auto"/>
              <w:left w:val="single" w:sz="4" w:space="0" w:color="auto"/>
              <w:bottom w:val="single" w:sz="4" w:space="0" w:color="auto"/>
              <w:right w:val="single" w:sz="4" w:space="0" w:color="auto"/>
            </w:tcBorders>
            <w:hideMark/>
          </w:tcPr>
          <w:p w14:paraId="70859DE0" w14:textId="77777777" w:rsidR="00B702C5" w:rsidRDefault="00B702C5" w:rsidP="00C81359">
            <w:pPr>
              <w:rPr>
                <w:sz w:val="20"/>
                <w:szCs w:val="20"/>
              </w:rPr>
            </w:pPr>
            <w:r>
              <w:rPr>
                <w:sz w:val="20"/>
                <w:szCs w:val="20"/>
              </w:rPr>
              <w:t>All parts and materials required for operation, including their replacement and system adjustment work (used parts are returned to the service provider)</w:t>
            </w:r>
          </w:p>
        </w:tc>
        <w:tc>
          <w:tcPr>
            <w:tcW w:w="1170" w:type="dxa"/>
            <w:tcBorders>
              <w:top w:val="single" w:sz="4" w:space="0" w:color="auto"/>
              <w:left w:val="single" w:sz="4" w:space="0" w:color="auto"/>
              <w:bottom w:val="single" w:sz="4" w:space="0" w:color="auto"/>
              <w:right w:val="single" w:sz="4" w:space="0" w:color="auto"/>
            </w:tcBorders>
            <w:hideMark/>
          </w:tcPr>
          <w:p w14:paraId="51068645" w14:textId="77777777" w:rsidR="00B702C5" w:rsidRDefault="00B702C5" w:rsidP="00C81359">
            <w:pPr>
              <w:rPr>
                <w:sz w:val="20"/>
                <w:szCs w:val="20"/>
              </w:rPr>
            </w:pPr>
            <w:r>
              <w:rPr>
                <w:sz w:val="20"/>
                <w:szCs w:val="20"/>
              </w:rPr>
              <w:t>Included</w:t>
            </w:r>
          </w:p>
        </w:tc>
      </w:tr>
      <w:tr w:rsidR="00B702C5" w14:paraId="31E402CD" w14:textId="77777777" w:rsidTr="00C81359">
        <w:trPr>
          <w:trHeight w:val="922"/>
        </w:trPr>
        <w:tc>
          <w:tcPr>
            <w:tcW w:w="416" w:type="dxa"/>
            <w:tcBorders>
              <w:top w:val="single" w:sz="4" w:space="0" w:color="auto"/>
              <w:left w:val="single" w:sz="4" w:space="0" w:color="auto"/>
              <w:bottom w:val="single" w:sz="4" w:space="0" w:color="auto"/>
              <w:right w:val="single" w:sz="4" w:space="0" w:color="auto"/>
            </w:tcBorders>
            <w:hideMark/>
          </w:tcPr>
          <w:p w14:paraId="500516B5" w14:textId="77777777" w:rsidR="00B702C5" w:rsidRDefault="00B702C5" w:rsidP="00C81359">
            <w:pPr>
              <w:rPr>
                <w:sz w:val="20"/>
                <w:szCs w:val="20"/>
              </w:rPr>
            </w:pPr>
            <w:r>
              <w:rPr>
                <w:sz w:val="20"/>
                <w:szCs w:val="20"/>
              </w:rPr>
              <w:t>3</w:t>
            </w:r>
          </w:p>
        </w:tc>
        <w:tc>
          <w:tcPr>
            <w:tcW w:w="3510" w:type="dxa"/>
            <w:tcBorders>
              <w:top w:val="single" w:sz="4" w:space="0" w:color="auto"/>
              <w:left w:val="single" w:sz="4" w:space="0" w:color="auto"/>
              <w:bottom w:val="single" w:sz="4" w:space="0" w:color="auto"/>
              <w:right w:val="single" w:sz="4" w:space="0" w:color="auto"/>
            </w:tcBorders>
          </w:tcPr>
          <w:p w14:paraId="6E44F98A" w14:textId="77777777" w:rsidR="00B702C5" w:rsidRDefault="00B702C5" w:rsidP="00C81359">
            <w:pPr>
              <w:rPr>
                <w:sz w:val="20"/>
                <w:szCs w:val="20"/>
              </w:rPr>
            </w:pPr>
            <w:r>
              <w:rPr>
                <w:sz w:val="20"/>
                <w:szCs w:val="20"/>
              </w:rPr>
              <w:t>Reagavimo laikas:</w:t>
            </w:r>
          </w:p>
          <w:p w14:paraId="67262787" w14:textId="77777777" w:rsidR="00B702C5" w:rsidRDefault="00B702C5" w:rsidP="00C81359">
            <w:pPr>
              <w:rPr>
                <w:sz w:val="20"/>
                <w:szCs w:val="20"/>
              </w:rPr>
            </w:pPr>
            <w:r>
              <w:rPr>
                <w:sz w:val="20"/>
                <w:szCs w:val="20"/>
              </w:rPr>
              <w:t>3.1. Užsakymų aptarnavimui priėmimas;</w:t>
            </w:r>
          </w:p>
          <w:p w14:paraId="3DC764BF" w14:textId="77777777" w:rsidR="00B702C5" w:rsidRDefault="00B702C5" w:rsidP="00C81359">
            <w:pPr>
              <w:rPr>
                <w:sz w:val="20"/>
                <w:szCs w:val="20"/>
              </w:rPr>
            </w:pPr>
          </w:p>
          <w:p w14:paraId="2570D326" w14:textId="77777777" w:rsidR="00B702C5" w:rsidRDefault="00B702C5" w:rsidP="00C81359">
            <w:pPr>
              <w:rPr>
                <w:sz w:val="20"/>
                <w:szCs w:val="20"/>
              </w:rPr>
            </w:pPr>
            <w:r>
              <w:rPr>
                <w:sz w:val="20"/>
                <w:szCs w:val="20"/>
              </w:rPr>
              <w:t>3.2. Reagavimo į užsakymus laikas.</w:t>
            </w:r>
          </w:p>
        </w:tc>
        <w:tc>
          <w:tcPr>
            <w:tcW w:w="1170" w:type="dxa"/>
            <w:tcBorders>
              <w:top w:val="single" w:sz="4" w:space="0" w:color="auto"/>
              <w:left w:val="single" w:sz="4" w:space="0" w:color="auto"/>
              <w:bottom w:val="single" w:sz="4" w:space="0" w:color="auto"/>
              <w:right w:val="single" w:sz="4" w:space="0" w:color="auto"/>
            </w:tcBorders>
          </w:tcPr>
          <w:p w14:paraId="74611186" w14:textId="77777777" w:rsidR="00B702C5" w:rsidRDefault="00B702C5" w:rsidP="00C81359">
            <w:pPr>
              <w:rPr>
                <w:sz w:val="20"/>
                <w:szCs w:val="20"/>
              </w:rPr>
            </w:pPr>
          </w:p>
          <w:p w14:paraId="4AEA2EC6" w14:textId="77777777" w:rsidR="00B702C5" w:rsidRDefault="00B702C5" w:rsidP="00C81359">
            <w:pPr>
              <w:rPr>
                <w:sz w:val="20"/>
                <w:szCs w:val="20"/>
              </w:rPr>
            </w:pPr>
            <w:r>
              <w:rPr>
                <w:sz w:val="20"/>
                <w:szCs w:val="20"/>
              </w:rPr>
              <w:t>24x7x365 režimu</w:t>
            </w:r>
          </w:p>
          <w:p w14:paraId="15114DC1" w14:textId="77777777" w:rsidR="00B702C5" w:rsidRDefault="00B702C5" w:rsidP="00C81359">
            <w:pPr>
              <w:rPr>
                <w:sz w:val="20"/>
                <w:szCs w:val="20"/>
              </w:rPr>
            </w:pPr>
            <w:r>
              <w:rPr>
                <w:sz w:val="20"/>
                <w:szCs w:val="20"/>
              </w:rPr>
              <w:t>24 val. darbo dienomis (I-V)</w:t>
            </w:r>
          </w:p>
        </w:tc>
        <w:tc>
          <w:tcPr>
            <w:tcW w:w="3510" w:type="dxa"/>
            <w:tcBorders>
              <w:top w:val="single" w:sz="4" w:space="0" w:color="auto"/>
              <w:left w:val="single" w:sz="4" w:space="0" w:color="auto"/>
              <w:bottom w:val="single" w:sz="4" w:space="0" w:color="auto"/>
              <w:right w:val="single" w:sz="4" w:space="0" w:color="auto"/>
            </w:tcBorders>
          </w:tcPr>
          <w:p w14:paraId="53E0A733" w14:textId="77777777" w:rsidR="00B702C5" w:rsidRDefault="00B702C5" w:rsidP="00C81359">
            <w:pPr>
              <w:rPr>
                <w:sz w:val="20"/>
                <w:szCs w:val="20"/>
              </w:rPr>
            </w:pPr>
            <w:r>
              <w:rPr>
                <w:sz w:val="20"/>
                <w:szCs w:val="20"/>
              </w:rPr>
              <w:t>Response time:</w:t>
            </w:r>
          </w:p>
          <w:p w14:paraId="6C7B314E" w14:textId="77777777" w:rsidR="00B702C5" w:rsidRDefault="00B702C5" w:rsidP="00C81359">
            <w:pPr>
              <w:rPr>
                <w:sz w:val="20"/>
                <w:szCs w:val="20"/>
              </w:rPr>
            </w:pPr>
            <w:r>
              <w:rPr>
                <w:sz w:val="20"/>
                <w:szCs w:val="20"/>
              </w:rPr>
              <w:t>3.1. Acceptance of service orders;</w:t>
            </w:r>
          </w:p>
          <w:p w14:paraId="4D1F7F1C" w14:textId="77777777" w:rsidR="00B702C5" w:rsidRDefault="00B702C5" w:rsidP="00C81359">
            <w:pPr>
              <w:rPr>
                <w:sz w:val="20"/>
                <w:szCs w:val="20"/>
              </w:rPr>
            </w:pPr>
          </w:p>
          <w:p w14:paraId="4C5C4617" w14:textId="77777777" w:rsidR="00B702C5" w:rsidRDefault="00B702C5" w:rsidP="00C81359">
            <w:pPr>
              <w:rPr>
                <w:sz w:val="20"/>
                <w:szCs w:val="20"/>
              </w:rPr>
            </w:pPr>
            <w:r>
              <w:rPr>
                <w:sz w:val="20"/>
                <w:szCs w:val="20"/>
              </w:rPr>
              <w:t>3.2. Order response time.</w:t>
            </w:r>
          </w:p>
        </w:tc>
        <w:tc>
          <w:tcPr>
            <w:tcW w:w="1170" w:type="dxa"/>
            <w:tcBorders>
              <w:top w:val="single" w:sz="4" w:space="0" w:color="auto"/>
              <w:left w:val="single" w:sz="4" w:space="0" w:color="auto"/>
              <w:bottom w:val="single" w:sz="4" w:space="0" w:color="auto"/>
              <w:right w:val="single" w:sz="4" w:space="0" w:color="auto"/>
            </w:tcBorders>
          </w:tcPr>
          <w:p w14:paraId="0AF9AFEF" w14:textId="77777777" w:rsidR="00B702C5" w:rsidRDefault="00B702C5" w:rsidP="00C81359">
            <w:pPr>
              <w:rPr>
                <w:sz w:val="20"/>
                <w:szCs w:val="20"/>
              </w:rPr>
            </w:pPr>
          </w:p>
          <w:p w14:paraId="27DF138E" w14:textId="77777777" w:rsidR="00B702C5" w:rsidRDefault="00B702C5" w:rsidP="00C81359">
            <w:pPr>
              <w:rPr>
                <w:sz w:val="20"/>
                <w:szCs w:val="20"/>
              </w:rPr>
            </w:pPr>
            <w:r>
              <w:rPr>
                <w:sz w:val="20"/>
                <w:szCs w:val="20"/>
              </w:rPr>
              <w:t>24x7x365 mode</w:t>
            </w:r>
          </w:p>
          <w:p w14:paraId="33FDFD1D" w14:textId="77777777" w:rsidR="00B702C5" w:rsidRDefault="00B702C5" w:rsidP="00C81359">
            <w:pPr>
              <w:rPr>
                <w:sz w:val="20"/>
                <w:szCs w:val="20"/>
              </w:rPr>
            </w:pPr>
            <w:r>
              <w:rPr>
                <w:sz w:val="20"/>
                <w:szCs w:val="20"/>
              </w:rPr>
              <w:t>24 hours working days (I-V)</w:t>
            </w:r>
          </w:p>
        </w:tc>
      </w:tr>
      <w:tr w:rsidR="00B702C5" w14:paraId="67A181F5" w14:textId="77777777" w:rsidTr="00C81359">
        <w:trPr>
          <w:trHeight w:val="606"/>
        </w:trPr>
        <w:tc>
          <w:tcPr>
            <w:tcW w:w="416" w:type="dxa"/>
            <w:tcBorders>
              <w:top w:val="single" w:sz="4" w:space="0" w:color="auto"/>
              <w:left w:val="single" w:sz="4" w:space="0" w:color="auto"/>
              <w:bottom w:val="single" w:sz="4" w:space="0" w:color="auto"/>
              <w:right w:val="single" w:sz="4" w:space="0" w:color="auto"/>
            </w:tcBorders>
            <w:hideMark/>
          </w:tcPr>
          <w:p w14:paraId="134C2DF8" w14:textId="77777777" w:rsidR="00B702C5" w:rsidRDefault="00B702C5" w:rsidP="00C81359">
            <w:pPr>
              <w:rPr>
                <w:sz w:val="20"/>
                <w:szCs w:val="20"/>
              </w:rPr>
            </w:pPr>
            <w:r>
              <w:rPr>
                <w:sz w:val="20"/>
                <w:szCs w:val="20"/>
              </w:rPr>
              <w:t>4</w:t>
            </w:r>
          </w:p>
        </w:tc>
        <w:tc>
          <w:tcPr>
            <w:tcW w:w="3510" w:type="dxa"/>
            <w:tcBorders>
              <w:top w:val="single" w:sz="4" w:space="0" w:color="auto"/>
              <w:left w:val="single" w:sz="4" w:space="0" w:color="auto"/>
              <w:bottom w:val="single" w:sz="4" w:space="0" w:color="auto"/>
              <w:right w:val="single" w:sz="4" w:space="0" w:color="auto"/>
            </w:tcBorders>
            <w:hideMark/>
          </w:tcPr>
          <w:p w14:paraId="6C8C3F1C" w14:textId="77777777" w:rsidR="00B702C5" w:rsidRDefault="00B702C5" w:rsidP="00C81359">
            <w:pPr>
              <w:rPr>
                <w:sz w:val="20"/>
                <w:szCs w:val="20"/>
              </w:rPr>
            </w:pPr>
            <w:r>
              <w:rPr>
                <w:sz w:val="20"/>
                <w:szCs w:val="20"/>
              </w:rPr>
              <w:t>Periodinė techninė priežiūra (įskaitant reikalingas dalis bei medžiagas ir kitas reikalingas darbo priemones) - pagal pateiktą reglamentą</w:t>
            </w:r>
          </w:p>
        </w:tc>
        <w:tc>
          <w:tcPr>
            <w:tcW w:w="1170" w:type="dxa"/>
            <w:tcBorders>
              <w:top w:val="single" w:sz="4" w:space="0" w:color="auto"/>
              <w:left w:val="single" w:sz="4" w:space="0" w:color="auto"/>
              <w:bottom w:val="single" w:sz="4" w:space="0" w:color="auto"/>
              <w:right w:val="single" w:sz="4" w:space="0" w:color="auto"/>
            </w:tcBorders>
            <w:hideMark/>
          </w:tcPr>
          <w:p w14:paraId="5B5E01F7" w14:textId="77777777" w:rsidR="00B702C5" w:rsidRDefault="00B702C5" w:rsidP="00C81359">
            <w:pPr>
              <w:rPr>
                <w:sz w:val="20"/>
                <w:szCs w:val="20"/>
              </w:rPr>
            </w:pPr>
            <w:r>
              <w:rPr>
                <w:sz w:val="20"/>
                <w:szCs w:val="20"/>
              </w:rPr>
              <w:t>1 kartą per metus pagal suderintą grafiką</w:t>
            </w:r>
          </w:p>
        </w:tc>
        <w:tc>
          <w:tcPr>
            <w:tcW w:w="3510" w:type="dxa"/>
            <w:tcBorders>
              <w:top w:val="single" w:sz="4" w:space="0" w:color="auto"/>
              <w:left w:val="single" w:sz="4" w:space="0" w:color="auto"/>
              <w:bottom w:val="single" w:sz="4" w:space="0" w:color="auto"/>
              <w:right w:val="single" w:sz="4" w:space="0" w:color="auto"/>
            </w:tcBorders>
            <w:hideMark/>
          </w:tcPr>
          <w:p w14:paraId="407E570B" w14:textId="77777777" w:rsidR="00B702C5" w:rsidRDefault="00B702C5" w:rsidP="00C81359">
            <w:pPr>
              <w:rPr>
                <w:sz w:val="20"/>
                <w:szCs w:val="20"/>
              </w:rPr>
            </w:pPr>
            <w:r>
              <w:rPr>
                <w:sz w:val="20"/>
                <w:szCs w:val="20"/>
              </w:rPr>
              <w:t>Periodic maintenance (including required parts and materials and other required work equipment) - in accordance with the submitted regulation</w:t>
            </w:r>
          </w:p>
        </w:tc>
        <w:tc>
          <w:tcPr>
            <w:tcW w:w="1170" w:type="dxa"/>
            <w:tcBorders>
              <w:top w:val="single" w:sz="4" w:space="0" w:color="auto"/>
              <w:left w:val="single" w:sz="4" w:space="0" w:color="auto"/>
              <w:bottom w:val="single" w:sz="4" w:space="0" w:color="auto"/>
              <w:right w:val="single" w:sz="4" w:space="0" w:color="auto"/>
            </w:tcBorders>
            <w:hideMark/>
          </w:tcPr>
          <w:p w14:paraId="49DE1391" w14:textId="77777777" w:rsidR="00B702C5" w:rsidRDefault="00B702C5" w:rsidP="00C81359">
            <w:pPr>
              <w:rPr>
                <w:sz w:val="20"/>
                <w:szCs w:val="20"/>
              </w:rPr>
            </w:pPr>
            <w:r>
              <w:rPr>
                <w:sz w:val="20"/>
                <w:szCs w:val="20"/>
              </w:rPr>
              <w:t>Once a year according to an agreed schedule</w:t>
            </w:r>
          </w:p>
        </w:tc>
      </w:tr>
      <w:tr w:rsidR="00B702C5" w14:paraId="337FE56C" w14:textId="77777777" w:rsidTr="00C81359">
        <w:trPr>
          <w:trHeight w:val="408"/>
        </w:trPr>
        <w:tc>
          <w:tcPr>
            <w:tcW w:w="416" w:type="dxa"/>
            <w:tcBorders>
              <w:top w:val="single" w:sz="4" w:space="0" w:color="auto"/>
              <w:left w:val="single" w:sz="4" w:space="0" w:color="auto"/>
              <w:bottom w:val="single" w:sz="4" w:space="0" w:color="auto"/>
              <w:right w:val="single" w:sz="4" w:space="0" w:color="auto"/>
            </w:tcBorders>
            <w:hideMark/>
          </w:tcPr>
          <w:p w14:paraId="3A037D81" w14:textId="77777777" w:rsidR="00B702C5" w:rsidRDefault="00B702C5" w:rsidP="00C81359">
            <w:pPr>
              <w:rPr>
                <w:sz w:val="20"/>
                <w:szCs w:val="20"/>
              </w:rPr>
            </w:pPr>
            <w:r>
              <w:rPr>
                <w:sz w:val="20"/>
                <w:szCs w:val="20"/>
              </w:rPr>
              <w:t>5</w:t>
            </w:r>
          </w:p>
        </w:tc>
        <w:tc>
          <w:tcPr>
            <w:tcW w:w="3510" w:type="dxa"/>
            <w:tcBorders>
              <w:top w:val="single" w:sz="4" w:space="0" w:color="auto"/>
              <w:left w:val="single" w:sz="4" w:space="0" w:color="auto"/>
              <w:bottom w:val="single" w:sz="4" w:space="0" w:color="auto"/>
              <w:right w:val="single" w:sz="4" w:space="0" w:color="auto"/>
            </w:tcBorders>
            <w:hideMark/>
          </w:tcPr>
          <w:p w14:paraId="32F28E1D" w14:textId="77777777" w:rsidR="00B702C5" w:rsidRDefault="00B702C5" w:rsidP="00C81359">
            <w:pPr>
              <w:rPr>
                <w:sz w:val="20"/>
                <w:szCs w:val="20"/>
              </w:rPr>
            </w:pPr>
            <w:r>
              <w:rPr>
                <w:sz w:val="20"/>
                <w:szCs w:val="20"/>
              </w:rPr>
              <w:t>Nuotolinis sistemos darbingumo patikrinimas (prisijungus per VPN)</w:t>
            </w:r>
          </w:p>
        </w:tc>
        <w:tc>
          <w:tcPr>
            <w:tcW w:w="1170" w:type="dxa"/>
            <w:tcBorders>
              <w:top w:val="single" w:sz="4" w:space="0" w:color="auto"/>
              <w:left w:val="single" w:sz="4" w:space="0" w:color="auto"/>
              <w:bottom w:val="single" w:sz="4" w:space="0" w:color="auto"/>
              <w:right w:val="single" w:sz="4" w:space="0" w:color="auto"/>
            </w:tcBorders>
            <w:hideMark/>
          </w:tcPr>
          <w:p w14:paraId="1E42B69E" w14:textId="77777777" w:rsidR="00B702C5" w:rsidRDefault="00B702C5" w:rsidP="00C81359">
            <w:pPr>
              <w:rPr>
                <w:sz w:val="20"/>
                <w:szCs w:val="20"/>
              </w:rPr>
            </w:pPr>
            <w:r>
              <w:rPr>
                <w:sz w:val="20"/>
                <w:szCs w:val="20"/>
              </w:rPr>
              <w:t xml:space="preserve">1 kartą per mėnesį </w:t>
            </w:r>
          </w:p>
        </w:tc>
        <w:tc>
          <w:tcPr>
            <w:tcW w:w="3510" w:type="dxa"/>
            <w:tcBorders>
              <w:top w:val="single" w:sz="4" w:space="0" w:color="auto"/>
              <w:left w:val="single" w:sz="4" w:space="0" w:color="auto"/>
              <w:bottom w:val="single" w:sz="4" w:space="0" w:color="auto"/>
              <w:right w:val="single" w:sz="4" w:space="0" w:color="auto"/>
            </w:tcBorders>
            <w:hideMark/>
          </w:tcPr>
          <w:p w14:paraId="00649B34" w14:textId="77777777" w:rsidR="00B702C5" w:rsidRDefault="00B702C5" w:rsidP="00C81359">
            <w:pPr>
              <w:rPr>
                <w:sz w:val="20"/>
                <w:szCs w:val="20"/>
              </w:rPr>
            </w:pPr>
            <w:r>
              <w:rPr>
                <w:sz w:val="20"/>
                <w:szCs w:val="20"/>
              </w:rPr>
              <w:t>Remote system performance check (connected via VPN)</w:t>
            </w:r>
          </w:p>
        </w:tc>
        <w:tc>
          <w:tcPr>
            <w:tcW w:w="1170" w:type="dxa"/>
            <w:tcBorders>
              <w:top w:val="single" w:sz="4" w:space="0" w:color="auto"/>
              <w:left w:val="single" w:sz="4" w:space="0" w:color="auto"/>
              <w:bottom w:val="single" w:sz="4" w:space="0" w:color="auto"/>
              <w:right w:val="single" w:sz="4" w:space="0" w:color="auto"/>
            </w:tcBorders>
            <w:hideMark/>
          </w:tcPr>
          <w:p w14:paraId="2EA2B82A" w14:textId="77777777" w:rsidR="00B702C5" w:rsidRDefault="00B702C5" w:rsidP="00C81359">
            <w:pPr>
              <w:rPr>
                <w:sz w:val="20"/>
                <w:szCs w:val="20"/>
              </w:rPr>
            </w:pPr>
            <w:r>
              <w:rPr>
                <w:sz w:val="20"/>
                <w:szCs w:val="20"/>
              </w:rPr>
              <w:t>1 time per month</w:t>
            </w:r>
          </w:p>
        </w:tc>
      </w:tr>
      <w:bookmarkEnd w:id="1"/>
    </w:tbl>
    <w:p w14:paraId="4C913102" w14:textId="77777777" w:rsidR="00B702C5" w:rsidRDefault="00B702C5" w:rsidP="00B702C5">
      <w:pPr>
        <w:spacing w:line="240" w:lineRule="atLeast"/>
        <w:jc w:val="both"/>
        <w:rPr>
          <w:sz w:val="20"/>
          <w:szCs w:val="20"/>
          <w:lang w:eastAsia="en-GB"/>
        </w:rPr>
      </w:pPr>
    </w:p>
    <w:p w14:paraId="1F10DD4F" w14:textId="77777777" w:rsidR="00B702C5" w:rsidRPr="004603FC" w:rsidRDefault="00B702C5" w:rsidP="00B702C5"/>
    <w:p w14:paraId="2E0BDD27" w14:textId="77777777" w:rsidR="0073162A" w:rsidRDefault="0073162A" w:rsidP="0073162A">
      <w:r>
        <w:t>SIA " Arbor Medical Korporācija"</w:t>
      </w:r>
    </w:p>
    <w:p w14:paraId="182FF28B" w14:textId="77777777" w:rsidR="0073162A" w:rsidRDefault="0073162A" w:rsidP="0073162A">
      <w:r w:rsidRPr="008A45D1">
        <w:t>Valdybos narys</w:t>
      </w:r>
    </w:p>
    <w:p w14:paraId="24F70620" w14:textId="0C5D82BD" w:rsidR="00B702C5" w:rsidRPr="00B702C5" w:rsidRDefault="00582990" w:rsidP="00B702C5">
      <w:r>
        <w:rPr>
          <w:iCs/>
        </w:rPr>
        <w:t>xxx</w:t>
      </w:r>
    </w:p>
    <w:sectPr w:rsidR="00B702C5" w:rsidRPr="00B702C5" w:rsidSect="003444F2">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5306" w14:textId="77777777" w:rsidR="00316433" w:rsidRDefault="00316433" w:rsidP="00C16644">
      <w:r>
        <w:separator/>
      </w:r>
    </w:p>
  </w:endnote>
  <w:endnote w:type="continuationSeparator" w:id="0">
    <w:p w14:paraId="6C5432CD" w14:textId="77777777" w:rsidR="00316433" w:rsidRDefault="00316433" w:rsidP="00C1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83A8" w14:textId="77777777" w:rsidR="00316433" w:rsidRDefault="00316433" w:rsidP="00C16644">
      <w:r>
        <w:separator/>
      </w:r>
    </w:p>
  </w:footnote>
  <w:footnote w:type="continuationSeparator" w:id="0">
    <w:p w14:paraId="16714092" w14:textId="77777777" w:rsidR="00316433" w:rsidRDefault="00316433" w:rsidP="00C16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07A2E"/>
    <w:multiLevelType w:val="hybridMultilevel"/>
    <w:tmpl w:val="2F808A3C"/>
    <w:lvl w:ilvl="0" w:tplc="F7FAC9B8">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 w15:restartNumberingAfterBreak="0">
    <w:nsid w:val="76F849C6"/>
    <w:multiLevelType w:val="hybridMultilevel"/>
    <w:tmpl w:val="D9345E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32258549">
    <w:abstractNumId w:val="1"/>
  </w:num>
  <w:num w:numId="2" w16cid:durableId="379550159">
    <w:abstractNumId w:val="2"/>
  </w:num>
  <w:num w:numId="3" w16cid:durableId="104690838">
    <w:abstractNumId w:val="0"/>
    <w:lvlOverride w:ilvl="0">
      <w:startOverride w:val="1"/>
    </w:lvlOverride>
    <w:lvlOverride w:ilvl="1"/>
    <w:lvlOverride w:ilvl="2"/>
    <w:lvlOverride w:ilvl="3"/>
    <w:lvlOverride w:ilvl="4"/>
    <w:lvlOverride w:ilvl="5"/>
    <w:lvlOverride w:ilvl="6"/>
    <w:lvlOverride w:ilvl="7"/>
    <w:lvlOverride w:ilvl="8"/>
  </w:num>
  <w:num w:numId="4" w16cid:durableId="334771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9C8"/>
    <w:rsid w:val="001331A3"/>
    <w:rsid w:val="001F2229"/>
    <w:rsid w:val="00316433"/>
    <w:rsid w:val="003444F2"/>
    <w:rsid w:val="00391E01"/>
    <w:rsid w:val="003E1857"/>
    <w:rsid w:val="004603FC"/>
    <w:rsid w:val="004619C8"/>
    <w:rsid w:val="004B1AB3"/>
    <w:rsid w:val="004D33C6"/>
    <w:rsid w:val="004D3E1C"/>
    <w:rsid w:val="00576CDE"/>
    <w:rsid w:val="00582990"/>
    <w:rsid w:val="00722D91"/>
    <w:rsid w:val="0073162A"/>
    <w:rsid w:val="00773C63"/>
    <w:rsid w:val="007D5705"/>
    <w:rsid w:val="007E5BDB"/>
    <w:rsid w:val="00B461CE"/>
    <w:rsid w:val="00B50A43"/>
    <w:rsid w:val="00B702C5"/>
    <w:rsid w:val="00C16644"/>
    <w:rsid w:val="00E100E0"/>
    <w:rsid w:val="00FF6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556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9C8"/>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qFormat/>
    <w:rsid w:val="004619C8"/>
    <w:pPr>
      <w:spacing w:after="200" w:line="276" w:lineRule="auto"/>
      <w:ind w:left="720"/>
      <w:contextualSpacing/>
    </w:pPr>
    <w:rPr>
      <w:rFonts w:ascii="Calibri" w:eastAsia="Calibri" w:hAnsi="Calibri"/>
      <w:sz w:val="22"/>
      <w:szCs w:val="22"/>
      <w:lang w:eastAsia="en-US"/>
    </w:rPr>
  </w:style>
  <w:style w:type="paragraph" w:customStyle="1" w:styleId="prastasis">
    <w:name w:val="Įprastasis"/>
    <w:rsid w:val="004619C8"/>
    <w:pPr>
      <w:suppressAutoHyphens/>
      <w:autoSpaceDN w:val="0"/>
      <w:spacing w:after="200" w:line="276" w:lineRule="auto"/>
      <w:textAlignment w:val="baseline"/>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qFormat/>
    <w:locked/>
    <w:rsid w:val="004619C8"/>
    <w:rPr>
      <w:rFonts w:ascii="Calibri" w:eastAsia="Calibri" w:hAnsi="Calibri" w:cs="Times New Roman"/>
      <w:lang w:val="lt-LT"/>
    </w:rPr>
  </w:style>
  <w:style w:type="table" w:styleId="TableGrid">
    <w:name w:val="Table Grid"/>
    <w:basedOn w:val="TableNormal"/>
    <w:uiPriority w:val="59"/>
    <w:rsid w:val="004603FC"/>
    <w:pPr>
      <w:spacing w:after="0" w:line="240" w:lineRule="auto"/>
    </w:pPr>
    <w:rPr>
      <w:rFonts w:ascii="Calibri" w:eastAsia="Times New Roman" w:hAnsi="Calibri" w:cs="Times New Roman"/>
      <w:sz w:val="24"/>
      <w:szCs w:val="24"/>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
    <w:name w:val="Numatytasis pastraipos šriftas"/>
    <w:rsid w:val="00B461CE"/>
  </w:style>
  <w:style w:type="paragraph" w:customStyle="1" w:styleId="Body2">
    <w:name w:val="Body 2"/>
    <w:rsid w:val="00FF686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Header">
    <w:name w:val="header"/>
    <w:basedOn w:val="Normal"/>
    <w:link w:val="HeaderChar"/>
    <w:uiPriority w:val="99"/>
    <w:unhideWhenUsed/>
    <w:rsid w:val="00C16644"/>
    <w:pPr>
      <w:tabs>
        <w:tab w:val="center" w:pos="4819"/>
        <w:tab w:val="right" w:pos="9638"/>
      </w:tabs>
    </w:pPr>
  </w:style>
  <w:style w:type="character" w:customStyle="1" w:styleId="HeaderChar">
    <w:name w:val="Header Char"/>
    <w:basedOn w:val="DefaultParagraphFont"/>
    <w:link w:val="Header"/>
    <w:uiPriority w:val="99"/>
    <w:rsid w:val="00C16644"/>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C16644"/>
    <w:pPr>
      <w:tabs>
        <w:tab w:val="center" w:pos="4819"/>
        <w:tab w:val="right" w:pos="9638"/>
      </w:tabs>
    </w:pPr>
  </w:style>
  <w:style w:type="character" w:customStyle="1" w:styleId="FooterChar">
    <w:name w:val="Footer Char"/>
    <w:basedOn w:val="DefaultParagraphFont"/>
    <w:link w:val="Footer"/>
    <w:uiPriority w:val="99"/>
    <w:rsid w:val="00C16644"/>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5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4198</Words>
  <Characters>2394</Characters>
  <Application>Microsoft Office Word</Application>
  <DocSecurity>0</DocSecurity>
  <Lines>19</Lines>
  <Paragraphs>13</Paragraphs>
  <ScaleCrop>false</ScaleCrop>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2025-11-27T14:24:00Z</dcterms:created>
  <dcterms:modified xsi:type="dcterms:W3CDTF">2025-11-27T14:24:00Z</dcterms:modified>
</cp:coreProperties>
</file>